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default"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香河县信访局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8"/>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bidi w:val="0"/>
        <w:ind w:firstLine="640" w:firstLineChars="200"/>
        <w:rPr>
          <w:rFonts w:hint="eastAsia" w:ascii="仿宋_GB2312" w:hAnsi="Calibri" w:eastAsia="仿宋_GB2312" w:cs="ArialUnicodeMS"/>
          <w:kern w:val="0"/>
          <w:sz w:val="32"/>
          <w:szCs w:val="32"/>
          <w:highlight w:val="yellow"/>
        </w:rPr>
      </w:pPr>
      <w:r>
        <w:rPr>
          <w:rFonts w:hint="eastAsia" w:ascii="仿宋" w:hAnsi="仿宋" w:eastAsia="仿宋" w:cs="仿宋"/>
          <w:sz w:val="32"/>
          <w:szCs w:val="32"/>
        </w:rPr>
        <w:t>根据香办字【2019】25号文件精神，机构改革后，香河县信访局为县委工作机关，机构规格正科级。主要职责：研究提出全县信访工作思路，拟定信访工作有关政策、规定；办理人民群众来信，接待群众来访，受理群众网上诉求，查办信访案件，负责人民群众建议征集工作；调查研究和综合分析全县信访形势及信访工作状况，总结推广各地各部门信访工作经验，提出改革和加强信访工作的意见和建议；参与组织协调、指导全县社会治安综合治理和维护社会政治稳定工作，协助保障国家、省、市、县重大政治活动顺利进行，参与处理影响社会政治稳定的突发性、群体性事件；督促检查和指导各镇（街道、社区）、园区和县直部门信访工作，对各镇（街道、社区）、园区和县直部门信访工作年度责任目标进行考核，对全县社会治安综合治理和维护社会政治稳定年度责任目标中有关信访工作进行考核；协助国家、省、市信访局处理群众进京、赴省上访工作，综合协调处理跨地区、跨部门、跨行业的重要信访问题；负责县级领导和县直部门领导公开接访和包联案件的组织协调工作；承担县信访工作联席会议的日常工作，督促落实联席会议决定的事项；完成县委、县政府和国家、省、市信访局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 xml:space="preserve">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香河县信访局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3</w:t>
            </w:r>
          </w:p>
        </w:tc>
        <w:tc>
          <w:tcPr>
            <w:tcW w:w="3485" w:type="dxa"/>
          </w:tcPr>
          <w:p>
            <w:pPr>
              <w:spacing w:line="560" w:lineRule="exact"/>
              <w:rPr>
                <w:rFonts w:ascii="仿宋_GB2312" w:hAnsi="Calibri" w:eastAsia="仿宋_GB2312" w:cs="ArialUnicodeMS"/>
                <w:kern w:val="0"/>
                <w:sz w:val="28"/>
                <w:szCs w:val="28"/>
              </w:rPr>
            </w:pPr>
          </w:p>
        </w:tc>
        <w:tc>
          <w:tcPr>
            <w:tcW w:w="2445" w:type="dxa"/>
          </w:tcPr>
          <w:p>
            <w:pPr>
              <w:spacing w:line="560" w:lineRule="exact"/>
              <w:jc w:val="center"/>
              <w:rPr>
                <w:rFonts w:ascii="仿宋_GB2312" w:hAnsi="Calibri" w:eastAsia="仿宋_GB2312" w:cs="ArialUnicodeMS"/>
                <w:kern w:val="0"/>
                <w:sz w:val="28"/>
                <w:szCs w:val="28"/>
              </w:rPr>
            </w:pPr>
          </w:p>
        </w:tc>
        <w:tc>
          <w:tcPr>
            <w:tcW w:w="2665" w:type="dxa"/>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3485" w:type="dxa"/>
            <w:tcBorders>
              <w:bottom w:val="single" w:color="auto" w:sz="4" w:space="0"/>
            </w:tcBorders>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w:t>
            </w:r>
          </w:p>
        </w:tc>
        <w:tc>
          <w:tcPr>
            <w:tcW w:w="244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c>
          <w:tcPr>
            <w:tcW w:w="2665" w:type="dxa"/>
            <w:tcBorders>
              <w:bottom w:val="single" w:color="auto" w:sz="4" w:space="0"/>
            </w:tcBorders>
          </w:tcPr>
          <w:p>
            <w:pPr>
              <w:spacing w:line="560" w:lineRule="exact"/>
              <w:jc w:val="center"/>
              <w:rPr>
                <w:rFonts w:ascii="仿宋_GB2312" w:hAnsi="Calibri"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 w:cs="DengXian-Regular"/>
          <w:sz w:val="32"/>
          <w:szCs w:val="32"/>
          <w:lang w:eastAsia="zh-CN"/>
        </w:rPr>
      </w:pPr>
      <w:r>
        <w:rPr>
          <w:rFonts w:hint="eastAsia" w:ascii="仿宋_GB2312" w:hAnsi="Times New Roman" w:eastAsia="仿宋_GB2312" w:cs="DengXian-Regular"/>
          <w:sz w:val="32"/>
          <w:szCs w:val="32"/>
        </w:rPr>
        <w:t>本部门2019年度收</w:t>
      </w:r>
      <w:r>
        <w:rPr>
          <w:rFonts w:hint="eastAsia" w:ascii="仿宋_GB2312" w:hAnsi="Times New Roman" w:eastAsia="仿宋_GB2312" w:cs="DengXian-Regular"/>
          <w:sz w:val="32"/>
          <w:szCs w:val="32"/>
          <w:lang w:val="en-US" w:eastAsia="zh-CN"/>
        </w:rPr>
        <w:t>入</w:t>
      </w:r>
      <w:r>
        <w:rPr>
          <w:rFonts w:hint="eastAsia" w:ascii="仿宋_GB2312" w:hAnsi="Times New Roman" w:eastAsia="仿宋_GB2312" w:cs="DengXian-Regular"/>
          <w:sz w:val="32"/>
          <w:szCs w:val="32"/>
        </w:rPr>
        <w:t>总计（含结转和结余）</w:t>
      </w:r>
      <w:r>
        <w:rPr>
          <w:rFonts w:hint="eastAsia" w:ascii="仿宋_GB2312" w:hAnsi="Times New Roman" w:eastAsia="仿宋_GB2312" w:cs="DengXian-Regular"/>
          <w:sz w:val="32"/>
          <w:szCs w:val="32"/>
          <w:lang w:val="en-US" w:eastAsia="zh-CN"/>
        </w:rPr>
        <w:t>2120.36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支出总计2074.40万元</w:t>
      </w:r>
      <w:r>
        <w:rPr>
          <w:rFonts w:hint="eastAsia" w:ascii="仿宋_GB2312" w:hAnsi="Times New Roman" w:eastAsia="仿宋_GB2312" w:cs="DengXian-Regular"/>
          <w:sz w:val="32"/>
          <w:szCs w:val="32"/>
        </w:rPr>
        <w:t>。与2018年度决算相比，</w:t>
      </w:r>
      <w:r>
        <w:rPr>
          <w:rFonts w:ascii="仿宋" w:hAnsi="仿宋" w:eastAsia="仿宋"/>
          <w:sz w:val="32"/>
          <w:szCs w:val="32"/>
        </w:rPr>
        <w:t>本年收入增加</w:t>
      </w:r>
      <w:r>
        <w:rPr>
          <w:rFonts w:hint="eastAsia" w:ascii="仿宋" w:hAnsi="仿宋" w:eastAsia="仿宋"/>
          <w:sz w:val="32"/>
          <w:szCs w:val="32"/>
          <w:lang w:val="en-US" w:eastAsia="zh-CN"/>
        </w:rPr>
        <w:t>26.85</w:t>
      </w:r>
      <w:r>
        <w:rPr>
          <w:rFonts w:ascii="仿宋" w:hAnsi="仿宋" w:eastAsia="仿宋"/>
          <w:sz w:val="32"/>
          <w:szCs w:val="32"/>
        </w:rPr>
        <w:t>万元，增长</w:t>
      </w:r>
      <w:r>
        <w:rPr>
          <w:rFonts w:hint="eastAsia" w:ascii="仿宋" w:hAnsi="仿宋" w:eastAsia="仿宋"/>
          <w:sz w:val="32"/>
          <w:szCs w:val="32"/>
          <w:lang w:val="en-US" w:eastAsia="zh-CN"/>
        </w:rPr>
        <w:t>1.28</w:t>
      </w:r>
      <w:r>
        <w:rPr>
          <w:rFonts w:ascii="仿宋" w:hAnsi="仿宋" w:eastAsia="仿宋"/>
          <w:sz w:val="32"/>
          <w:szCs w:val="32"/>
        </w:rPr>
        <w:t>%，主要是</w:t>
      </w:r>
      <w:r>
        <w:rPr>
          <w:rFonts w:hint="eastAsia" w:ascii="仿宋" w:hAnsi="仿宋" w:eastAsia="仿宋"/>
          <w:sz w:val="32"/>
          <w:szCs w:val="32"/>
        </w:rPr>
        <w:t>人员经费和业务费增加</w:t>
      </w:r>
      <w:r>
        <w:rPr>
          <w:rFonts w:hint="eastAsia" w:ascii="仿宋" w:hAnsi="仿宋" w:eastAsia="仿宋"/>
          <w:sz w:val="32"/>
          <w:szCs w:val="32"/>
          <w:lang w:eastAsia="zh-CN"/>
        </w:rPr>
        <w:t>；</w:t>
      </w:r>
      <w:r>
        <w:rPr>
          <w:rFonts w:ascii="仿宋" w:hAnsi="仿宋" w:eastAsia="仿宋"/>
          <w:sz w:val="32"/>
          <w:szCs w:val="32"/>
        </w:rPr>
        <w:t>本年支出增加</w:t>
      </w:r>
      <w:r>
        <w:rPr>
          <w:rFonts w:hint="eastAsia" w:ascii="仿宋" w:hAnsi="仿宋" w:eastAsia="仿宋"/>
          <w:sz w:val="32"/>
          <w:szCs w:val="32"/>
          <w:lang w:val="en-US" w:eastAsia="zh-CN"/>
        </w:rPr>
        <w:t>161.30</w:t>
      </w:r>
      <w:r>
        <w:rPr>
          <w:rFonts w:ascii="仿宋" w:hAnsi="仿宋" w:eastAsia="仿宋"/>
          <w:sz w:val="32"/>
          <w:szCs w:val="32"/>
        </w:rPr>
        <w:t>万元，增长</w:t>
      </w:r>
      <w:r>
        <w:rPr>
          <w:rFonts w:hint="eastAsia" w:ascii="仿宋" w:hAnsi="仿宋" w:eastAsia="仿宋"/>
          <w:sz w:val="32"/>
          <w:szCs w:val="32"/>
          <w:lang w:val="en-US" w:eastAsia="zh-CN"/>
        </w:rPr>
        <w:t>8.43</w:t>
      </w:r>
      <w:r>
        <w:rPr>
          <w:rFonts w:ascii="仿宋" w:hAnsi="仿宋" w:eastAsia="仿宋"/>
          <w:sz w:val="32"/>
          <w:szCs w:val="32"/>
        </w:rPr>
        <w:t>%，主要是</w:t>
      </w:r>
      <w:r>
        <w:rPr>
          <w:rFonts w:hint="eastAsia" w:ascii="仿宋" w:hAnsi="仿宋" w:eastAsia="仿宋"/>
          <w:sz w:val="32"/>
          <w:szCs w:val="32"/>
        </w:rPr>
        <w:t>人员</w:t>
      </w:r>
      <w:r>
        <w:rPr>
          <w:rFonts w:hint="eastAsia" w:ascii="仿宋" w:hAnsi="仿宋" w:eastAsia="仿宋"/>
          <w:sz w:val="32"/>
          <w:szCs w:val="32"/>
          <w:lang w:val="en-US" w:eastAsia="zh-CN"/>
        </w:rPr>
        <w:t>经费</w:t>
      </w:r>
      <w:r>
        <w:rPr>
          <w:rFonts w:hint="eastAsia" w:ascii="仿宋" w:hAnsi="仿宋" w:eastAsia="仿宋"/>
          <w:sz w:val="32"/>
          <w:szCs w:val="32"/>
        </w:rPr>
        <w:t>和业务费支出增加</w:t>
      </w:r>
      <w:r>
        <w:rPr>
          <w:rFonts w:hint="eastAsia" w:ascii="仿宋" w:hAnsi="仿宋" w:eastAsia="仿宋"/>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1954.16</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1954.16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2074.40</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2074.40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1954.16</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219.16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12.63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人员经费和业务费增加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2074.40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比2018年度</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174.67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9.19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人员经费支出和业务费支出增加</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1954.16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133.51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490.53</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增加了70年国庆信访维稳经费拨款</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2074.40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141.73</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610.77</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val="en-US" w:eastAsia="zh-CN"/>
        </w:rPr>
        <w:t>70年大庆信访稳经费支出以及人员经费支出增加</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2074.40</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2074.40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%；教育（类）支出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%；科学技术（类）支出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2074.40</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261.33</w:t>
      </w:r>
      <w:r>
        <w:rPr>
          <w:rFonts w:hint="eastAsia" w:ascii="仿宋_GB2312" w:hAnsi="Times New Roman" w:eastAsia="仿宋_GB2312" w:cs="DengXian-Regular"/>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DengXian-Regular"/>
          <w:sz w:val="32"/>
          <w:szCs w:val="32"/>
          <w:lang w:val="en-US" w:eastAsia="zh-CN"/>
        </w:rPr>
        <w:t>1813.07</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33.56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99.91</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val="en-US" w:eastAsia="zh-CN"/>
        </w:rPr>
        <w:t>减少0.03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减少0.09</w:t>
      </w:r>
      <w:r>
        <w:rPr>
          <w:rFonts w:hint="eastAsia" w:ascii="仿宋_GB2312" w:hAnsi="Times New Roman" w:eastAsia="仿宋_GB2312" w:cs="DengXian-Regular"/>
          <w:sz w:val="32"/>
          <w:szCs w:val="32"/>
        </w:rPr>
        <w:t>%，</w:t>
      </w:r>
      <w:r>
        <w:rPr>
          <w:rFonts w:ascii="仿宋" w:hAnsi="仿宋" w:eastAsia="仿宋"/>
          <w:sz w:val="32"/>
          <w:szCs w:val="32"/>
        </w:rPr>
        <w:t>主要原因是</w:t>
      </w:r>
      <w:r>
        <w:rPr>
          <w:rFonts w:hint="eastAsia" w:ascii="仿宋" w:hAnsi="仿宋" w:eastAsia="仿宋"/>
          <w:sz w:val="32"/>
          <w:szCs w:val="32"/>
        </w:rPr>
        <w:t>公务用车改革后严格控制公务用车使用，费用下降</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17.87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113.89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新购置公务用车一辆</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w:t>
      </w:r>
      <w:r>
        <w:rPr>
          <w:rFonts w:hint="eastAsia" w:ascii="仿宋_GB2312" w:hAnsi="Times New Roman" w:eastAsia="仿宋_GB2312" w:cs="DengXian-Regular"/>
          <w:sz w:val="32"/>
          <w:szCs w:val="32"/>
          <w:lang w:val="en-US" w:eastAsia="zh-CN"/>
        </w:rPr>
        <w:t>预算支出为0万元，</w:t>
      </w:r>
      <w:r>
        <w:rPr>
          <w:rFonts w:hint="eastAsia" w:ascii="仿宋_GB2312" w:hAnsi="Times New Roman" w:eastAsia="仿宋_GB2312" w:cs="DengXian-Regular"/>
          <w:sz w:val="32"/>
          <w:szCs w:val="32"/>
        </w:rPr>
        <w:t>因公出国（境）费支出</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相同，与2018年度相同。</w:t>
      </w:r>
    </w:p>
    <w:p>
      <w:pPr>
        <w:numPr>
          <w:ilvl w:val="0"/>
          <w:numId w:val="2"/>
        </w:numPr>
        <w:adjustRightInd w:val="0"/>
        <w:snapToGrid w:val="0"/>
        <w:spacing w:line="580" w:lineRule="exact"/>
        <w:ind w:firstLine="643" w:firstLineChars="200"/>
        <w:rPr>
          <w:rFonts w:hint="default" w:ascii="仿宋_GB2312" w:hAnsi="Times New Roman" w:eastAsia="仿宋_GB2312" w:cs="DengXian-Bold"/>
          <w:b/>
          <w:bCs/>
          <w:sz w:val="32"/>
          <w:szCs w:val="32"/>
          <w:lang w:val="en-US"/>
        </w:rPr>
      </w:pPr>
      <w:r>
        <w:rPr>
          <w:rFonts w:hint="eastAsia" w:ascii="楷体_GB2312" w:hAnsi="Times New Roman" w:eastAsia="楷体_GB2312" w:cs="DengXian-Bold"/>
          <w:b/>
          <w:bCs/>
          <w:sz w:val="32"/>
          <w:szCs w:val="32"/>
        </w:rPr>
        <w:t>公务用车购置及运行维护费支出</w:t>
      </w:r>
      <w:r>
        <w:rPr>
          <w:rFonts w:hint="eastAsia" w:ascii="楷体_GB2312" w:hAnsi="Times New Roman" w:eastAsia="楷体_GB2312" w:cs="DengXian-Bold"/>
          <w:b/>
          <w:bCs/>
          <w:sz w:val="32"/>
          <w:szCs w:val="32"/>
          <w:lang w:val="en-US" w:eastAsia="zh-CN"/>
        </w:rPr>
        <w:t>33.56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w:t>
      </w:r>
      <w:r>
        <w:rPr>
          <w:rFonts w:hint="eastAsia" w:ascii="仿宋_GB2312" w:hAnsi="Times New Roman" w:eastAsia="仿宋_GB2312" w:cs="DengXian-Regular"/>
          <w:sz w:val="32"/>
          <w:szCs w:val="32"/>
          <w:lang w:val="en-US" w:eastAsia="zh-CN"/>
        </w:rPr>
        <w:t>较</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减少0.03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减少0.09</w:t>
      </w:r>
      <w:r>
        <w:rPr>
          <w:rFonts w:hint="eastAsia" w:ascii="仿宋_GB2312" w:hAnsi="Times New Roman" w:eastAsia="仿宋_GB2312" w:cs="DengXian-Regular"/>
          <w:sz w:val="32"/>
          <w:szCs w:val="32"/>
        </w:rPr>
        <w:t>%,</w:t>
      </w:r>
      <w:r>
        <w:rPr>
          <w:rFonts w:ascii="仿宋" w:hAnsi="仿宋" w:eastAsia="仿宋"/>
          <w:sz w:val="32"/>
          <w:szCs w:val="32"/>
        </w:rPr>
        <w:t>主要原因是</w:t>
      </w:r>
      <w:r>
        <w:rPr>
          <w:rFonts w:hint="eastAsia" w:ascii="仿宋" w:hAnsi="仿宋" w:eastAsia="仿宋"/>
          <w:sz w:val="32"/>
          <w:szCs w:val="32"/>
        </w:rPr>
        <w:t>公务用车改革后严格控制公务用车使用，费用下降</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2018增加17.87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增长113.89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本年度购置公务用车一辆。</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17.90</w:t>
      </w:r>
      <w:r>
        <w:rPr>
          <w:rFonts w:hint="eastAsia" w:ascii="仿宋_GB2312" w:hAnsi="Times New Roman" w:eastAsia="仿宋_GB2312" w:cs="DengXian-Regular"/>
          <w:sz w:val="32"/>
          <w:szCs w:val="32"/>
        </w:rPr>
        <w:t>万元。公务用车购置费支出</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val="en-US" w:eastAsia="zh-CN"/>
        </w:rPr>
        <w:t>吃持平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17.90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2018年度无公务用车购置费用</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val="en-US" w:eastAsia="zh-CN"/>
        </w:rPr>
        <w:t>减少0.03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降低0.09</w:t>
      </w:r>
      <w:r>
        <w:rPr>
          <w:rFonts w:hint="eastAsia" w:ascii="仿宋_GB2312" w:hAnsi="Times New Roman" w:eastAsia="仿宋_GB2312" w:cs="DengXian-Regular"/>
          <w:sz w:val="32"/>
          <w:szCs w:val="32"/>
        </w:rPr>
        <w:t>%,</w:t>
      </w:r>
      <w:r>
        <w:rPr>
          <w:rFonts w:ascii="仿宋" w:hAnsi="仿宋" w:eastAsia="仿宋"/>
          <w:sz w:val="32"/>
          <w:szCs w:val="32"/>
        </w:rPr>
        <w:t>主要原因是</w:t>
      </w:r>
      <w:r>
        <w:rPr>
          <w:rFonts w:hint="eastAsia" w:ascii="仿宋" w:hAnsi="仿宋" w:eastAsia="仿宋"/>
          <w:sz w:val="32"/>
          <w:szCs w:val="32"/>
        </w:rPr>
        <w:t>公务用车改革后严格控制公务用车使用，费用下降</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val="en-US" w:eastAsia="zh-CN"/>
        </w:rPr>
        <w:t>减少0.03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降低0.2</w:t>
      </w:r>
      <w:r>
        <w:rPr>
          <w:rFonts w:hint="eastAsia" w:ascii="仿宋_GB2312" w:hAnsi="Times New Roman" w:eastAsia="仿宋_GB2312" w:cs="DengXian-Regular"/>
          <w:sz w:val="32"/>
          <w:szCs w:val="32"/>
        </w:rPr>
        <w:t>%，</w:t>
      </w:r>
      <w:r>
        <w:rPr>
          <w:rFonts w:ascii="仿宋" w:hAnsi="仿宋" w:eastAsia="仿宋"/>
          <w:sz w:val="32"/>
          <w:szCs w:val="32"/>
        </w:rPr>
        <w:t>主要原因是</w:t>
      </w:r>
      <w:r>
        <w:rPr>
          <w:rFonts w:hint="eastAsia" w:ascii="仿宋" w:hAnsi="仿宋" w:eastAsia="仿宋"/>
          <w:sz w:val="32"/>
          <w:szCs w:val="32"/>
        </w:rPr>
        <w:t>公务用车改革后严格控制公务用车使用，费用下降</w:t>
      </w:r>
      <w:r>
        <w:rPr>
          <w:rFonts w:hint="eastAsia" w:ascii="仿宋_GB2312" w:hAnsi="Times New Roman" w:eastAsia="仿宋_GB2312" w:cs="DengXian-Regular"/>
          <w:sz w:val="32"/>
          <w:szCs w:val="32"/>
        </w:rPr>
        <w:t>。</w:t>
      </w:r>
      <w:bookmarkStart w:id="0" w:name="_GoBack"/>
      <w:bookmarkEnd w:id="0"/>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r>
        <w:rPr>
          <w:rFonts w:hint="eastAsia" w:ascii="仿宋_GB2312" w:hAnsi="Times New Roman" w:eastAsia="仿宋_GB2312" w:cs="DengXian-Regular"/>
          <w:sz w:val="32"/>
          <w:szCs w:val="32"/>
          <w:lang w:val="en-US" w:eastAsia="zh-CN"/>
        </w:rPr>
        <w:t>公务接待费支出与预算相同，本年度无公务接待费用支出，与2018年度决算相同。</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1171.41</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。从评价情况来看，</w:t>
      </w:r>
      <w:r>
        <w:rPr>
          <w:rFonts w:hint="eastAsia" w:ascii="仿宋_GB2312" w:hAnsi="仿宋_GB2312" w:eastAsia="仿宋_GB2312" w:cs="仿宋_GB2312"/>
          <w:sz w:val="32"/>
          <w:szCs w:val="32"/>
          <w:lang w:val="en-US" w:eastAsia="zh-CN"/>
        </w:rPr>
        <w:t>财政资金使用合理</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全国两会信访值班经费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项目绩效自评结果。</w:t>
      </w:r>
    </w:p>
    <w:p>
      <w:pPr>
        <w:numPr>
          <w:ilvl w:val="0"/>
          <w:numId w:val="3"/>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“全国两会”信访维稳值班经费</w:t>
      </w:r>
      <w:r>
        <w:rPr>
          <w:rFonts w:hint="eastAsia" w:ascii="仿宋_GB2312" w:hAnsi="仿宋_GB2312" w:eastAsia="仿宋_GB2312" w:cs="仿宋_GB2312"/>
          <w:sz w:val="32"/>
          <w:szCs w:val="32"/>
        </w:rPr>
        <w:t>项目自评综述：</w:t>
      </w:r>
      <w:r>
        <w:rPr>
          <w:rFonts w:hint="eastAsia" w:ascii="仿宋" w:hAnsi="仿宋" w:eastAsia="仿宋"/>
          <w:sz w:val="32"/>
          <w:szCs w:val="32"/>
        </w:rPr>
        <w:t>我局担负全县信访维稳工作重任，尤其是首都北京召开重要会议和重大政治活动期间，正</w:t>
      </w:r>
      <w:r>
        <w:rPr>
          <w:rFonts w:hint="eastAsia" w:ascii="仿宋" w:hAnsi="仿宋" w:eastAsia="仿宋"/>
          <w:sz w:val="32"/>
          <w:szCs w:val="32"/>
          <w:lang w:val="en-US" w:eastAsia="zh-CN"/>
        </w:rPr>
        <w:t>是</w:t>
      </w:r>
      <w:r>
        <w:rPr>
          <w:rFonts w:hint="eastAsia" w:ascii="仿宋" w:hAnsi="仿宋" w:eastAsia="仿宋"/>
          <w:sz w:val="32"/>
          <w:szCs w:val="32"/>
        </w:rPr>
        <w:t>信访维稳系统任务最为艰巨的时刻。</w:t>
      </w:r>
      <w:r>
        <w:rPr>
          <w:rFonts w:hint="eastAsia" w:ascii="仿宋" w:hAnsi="仿宋" w:eastAsia="仿宋"/>
          <w:sz w:val="32"/>
          <w:szCs w:val="32"/>
          <w:lang w:val="en-US" w:eastAsia="zh-CN"/>
        </w:rPr>
        <w:t>尤其是“全国</w:t>
      </w:r>
      <w:r>
        <w:rPr>
          <w:rFonts w:hint="eastAsia" w:ascii="仿宋" w:hAnsi="仿宋" w:eastAsia="仿宋"/>
          <w:sz w:val="32"/>
          <w:szCs w:val="32"/>
        </w:rPr>
        <w:t>两会</w:t>
      </w:r>
      <w:r>
        <w:rPr>
          <w:rFonts w:hint="eastAsia" w:ascii="仿宋" w:hAnsi="仿宋" w:eastAsia="仿宋"/>
          <w:sz w:val="32"/>
          <w:szCs w:val="32"/>
          <w:lang w:val="en-US" w:eastAsia="zh-CN"/>
        </w:rPr>
        <w:t>”期间</w:t>
      </w:r>
      <w:r>
        <w:rPr>
          <w:rFonts w:hint="eastAsia" w:ascii="仿宋" w:hAnsi="仿宋" w:eastAsia="仿宋"/>
          <w:sz w:val="32"/>
          <w:szCs w:val="32"/>
        </w:rPr>
        <w:t>，</w:t>
      </w:r>
      <w:r>
        <w:rPr>
          <w:rFonts w:hint="eastAsia" w:ascii="仿宋" w:hAnsi="仿宋" w:eastAsia="仿宋"/>
          <w:sz w:val="32"/>
          <w:szCs w:val="32"/>
          <w:lang w:val="en-US" w:eastAsia="zh-CN"/>
        </w:rPr>
        <w:t>信访老户、特殊利益群体、历史遗留访等特定群体择机上访，给地方政府施压，也给首都和谐稳定局面带来负面影响。</w:t>
      </w:r>
      <w:r>
        <w:rPr>
          <w:rFonts w:hint="eastAsia" w:ascii="仿宋" w:hAnsi="仿宋" w:eastAsia="仿宋"/>
          <w:sz w:val="32"/>
          <w:szCs w:val="32"/>
        </w:rPr>
        <w:t>我单位牵头，各职能部门参加组成进京值班工作组，及时稳妥处置我县各类进京上访人员，</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val="en-US" w:eastAsia="zh-CN"/>
        </w:rPr>
        <w:t>全国两会信访值班经费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w:t>
      </w:r>
      <w:r>
        <w:rPr>
          <w:rFonts w:hint="eastAsia" w:ascii="仿宋_GB2312" w:hAnsi="仿宋_GB2312" w:eastAsia="仿宋_GB2312" w:cs="仿宋_GB2312"/>
          <w:sz w:val="32"/>
          <w:szCs w:val="32"/>
          <w:lang w:val="en-US" w:eastAsia="zh-CN"/>
        </w:rPr>
        <w:t>此专项经费</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圆满完成了全国两会安保期间信访值班任务，及时发现，及时劝返</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实现省市要求工作目标，起到了首都维稳护城河作用。</w:t>
      </w:r>
      <w:r>
        <w:rPr>
          <w:rFonts w:hint="eastAsia" w:ascii="仿宋_GB2312" w:hAnsi="仿宋_GB2312" w:eastAsia="仿宋_GB2312" w:cs="仿宋_GB2312"/>
          <w:sz w:val="32"/>
          <w:szCs w:val="32"/>
        </w:rPr>
        <w:t>发现的主要问题及原因：一是</w:t>
      </w:r>
      <w:r>
        <w:rPr>
          <w:rFonts w:hint="eastAsia" w:ascii="仿宋_GB2312" w:hAnsi="仿宋_GB2312" w:eastAsia="仿宋_GB2312" w:cs="仿宋_GB2312"/>
          <w:sz w:val="32"/>
          <w:szCs w:val="32"/>
          <w:lang w:val="en-US" w:eastAsia="zh-CN"/>
        </w:rPr>
        <w:t>信访人员在此敏感时期进京信访，本身就是为了达到目的，制造或者扩大影响，带有投机性，很稳控</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这类信访人员进京后，很容易采取情绪化或者走极端，劝返难度也比较大</w:t>
      </w:r>
      <w:r>
        <w:rPr>
          <w:rFonts w:hint="eastAsia" w:ascii="仿宋_GB2312" w:hAnsi="仿宋_GB2312" w:eastAsia="仿宋_GB2312" w:cs="仿宋_GB2312"/>
          <w:sz w:val="32"/>
          <w:szCs w:val="32"/>
        </w:rPr>
        <w:t>。下一步改进措施：一是</w:t>
      </w:r>
      <w:r>
        <w:rPr>
          <w:rFonts w:hint="eastAsia" w:ascii="仿宋_GB2312" w:hAnsi="仿宋_GB2312" w:eastAsia="仿宋_GB2312" w:cs="仿宋_GB2312"/>
          <w:sz w:val="32"/>
          <w:szCs w:val="32"/>
          <w:lang w:val="en-US" w:eastAsia="zh-CN"/>
        </w:rPr>
        <w:t>加大对信访老户和特殊利益群体的稳控经费投入，24小时不离开视线，而对于个别确有生活困难的，需要在帮扶上多下功夫</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一旦发生进京访，主管部门和公安要立即介入，果断处置，消除影响</w:t>
      </w:r>
      <w:r>
        <w:rPr>
          <w:rFonts w:hint="eastAsia" w:ascii="仿宋_GB2312" w:hAnsi="仿宋_GB2312" w:eastAsia="仿宋_GB2312" w:cs="仿宋_GB2312"/>
          <w:sz w:val="32"/>
          <w:szCs w:val="32"/>
        </w:rPr>
        <w:t>。</w:t>
      </w:r>
    </w:p>
    <w:tbl>
      <w:tblPr>
        <w:tblStyle w:val="6"/>
        <w:tblW w:w="0" w:type="auto"/>
        <w:tblInd w:w="0" w:type="dxa"/>
        <w:tblLayout w:type="fixed"/>
        <w:tblCellMar>
          <w:top w:w="0" w:type="dxa"/>
          <w:left w:w="108" w:type="dxa"/>
          <w:bottom w:w="0" w:type="dxa"/>
          <w:right w:w="108" w:type="dxa"/>
        </w:tblCellMar>
      </w:tblPr>
      <w:tblGrid>
        <w:gridCol w:w="860"/>
        <w:gridCol w:w="927"/>
        <w:gridCol w:w="1264"/>
        <w:gridCol w:w="2497"/>
        <w:gridCol w:w="684"/>
        <w:gridCol w:w="132"/>
        <w:gridCol w:w="879"/>
        <w:gridCol w:w="69"/>
        <w:gridCol w:w="875"/>
        <w:gridCol w:w="415"/>
        <w:gridCol w:w="881"/>
        <w:gridCol w:w="349"/>
        <w:gridCol w:w="949"/>
        <w:gridCol w:w="266"/>
        <w:gridCol w:w="647"/>
        <w:gridCol w:w="298"/>
        <w:gridCol w:w="2182"/>
      </w:tblGrid>
      <w:tr>
        <w:tblPrEx>
          <w:tblCellMar>
            <w:top w:w="0" w:type="dxa"/>
            <w:left w:w="108" w:type="dxa"/>
            <w:bottom w:w="0" w:type="dxa"/>
            <w:right w:w="108" w:type="dxa"/>
          </w:tblCellMar>
        </w:tblPrEx>
        <w:trPr>
          <w:trHeight w:val="495" w:hRule="atLeast"/>
        </w:trPr>
        <w:tc>
          <w:tcPr>
            <w:tcW w:w="14174" w:type="dxa"/>
            <w:gridSpan w:val="17"/>
            <w:tcBorders>
              <w:top w:val="nil"/>
              <w:left w:val="nil"/>
              <w:bottom w:val="nil"/>
              <w:right w:val="nil"/>
            </w:tcBorders>
            <w:noWrap w:val="0"/>
            <w:vAlign w:val="center"/>
          </w:tcPr>
          <w:p>
            <w:pPr>
              <w:widowControl/>
              <w:jc w:val="center"/>
              <w:rPr>
                <w:rFonts w:hint="eastAsia" w:ascii="方正小标宋简体" w:hAnsi="宋体" w:eastAsia="方正小标宋简体" w:cs="宋体"/>
                <w:color w:val="000000"/>
                <w:kern w:val="0"/>
                <w:sz w:val="36"/>
                <w:szCs w:val="36"/>
              </w:rPr>
            </w:pPr>
            <w:r>
              <w:rPr>
                <w:rFonts w:hint="eastAsia" w:ascii="方正小标宋简体" w:hAnsi="宋体" w:eastAsia="方正小标宋简体" w:cs="宋体"/>
                <w:bCs/>
                <w:color w:val="000000"/>
                <w:kern w:val="0"/>
                <w:sz w:val="36"/>
                <w:szCs w:val="36"/>
              </w:rPr>
              <w:t>项目支出绩效自评表</w:t>
            </w:r>
            <w:r>
              <w:rPr>
                <w:rFonts w:hint="eastAsia" w:ascii="方正小标宋简体" w:hAnsi="宋体" w:eastAsia="方正小标宋简体" w:cs="宋体"/>
                <w:color w:val="000000"/>
                <w:kern w:val="0"/>
                <w:sz w:val="36"/>
                <w:szCs w:val="36"/>
              </w:rPr>
              <w:t xml:space="preserve"> </w:t>
            </w:r>
          </w:p>
        </w:tc>
      </w:tr>
      <w:tr>
        <w:tblPrEx>
          <w:tblCellMar>
            <w:top w:w="0" w:type="dxa"/>
            <w:left w:w="108" w:type="dxa"/>
            <w:bottom w:w="0" w:type="dxa"/>
            <w:right w:w="108" w:type="dxa"/>
          </w:tblCellMar>
        </w:tblPrEx>
        <w:trPr>
          <w:trHeight w:val="319" w:hRule="atLeast"/>
        </w:trPr>
        <w:tc>
          <w:tcPr>
            <w:tcW w:w="14174" w:type="dxa"/>
            <w:gridSpan w:val="17"/>
            <w:tcBorders>
              <w:top w:val="nil"/>
              <w:left w:val="nil"/>
              <w:bottom w:val="nil"/>
              <w:right w:val="nil"/>
            </w:tcBorders>
            <w:noWrap w:val="0"/>
            <w:vAlign w:val="center"/>
          </w:tcPr>
          <w:p>
            <w:pPr>
              <w:widowControl/>
              <w:jc w:val="center"/>
              <w:rPr>
                <w:rFonts w:ascii="宋体" w:hAnsi="宋体" w:cs="宋体"/>
                <w:color w:val="000000"/>
                <w:kern w:val="0"/>
                <w:sz w:val="22"/>
              </w:rPr>
            </w:pPr>
            <w:r>
              <w:rPr>
                <w:rFonts w:hint="eastAsia" w:ascii="宋体" w:hAnsi="宋体" w:cs="宋体"/>
                <w:color w:val="000000"/>
                <w:kern w:val="0"/>
                <w:sz w:val="22"/>
              </w:rPr>
              <w:t>（2019年度）</w:t>
            </w:r>
          </w:p>
        </w:tc>
      </w:tr>
      <w:tr>
        <w:tblPrEx>
          <w:tblCellMar>
            <w:top w:w="0" w:type="dxa"/>
            <w:left w:w="108" w:type="dxa"/>
            <w:bottom w:w="0" w:type="dxa"/>
            <w:right w:w="108" w:type="dxa"/>
          </w:tblCellMar>
        </w:tblPrEx>
        <w:trPr>
          <w:trHeight w:val="319" w:hRule="atLeast"/>
        </w:trPr>
        <w:tc>
          <w:tcPr>
            <w:tcW w:w="860"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7"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64"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97"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16"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879" w:type="dxa"/>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44"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96"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298"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13"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2480" w:type="dxa"/>
            <w:gridSpan w:val="2"/>
            <w:tcBorders>
              <w:top w:val="nil"/>
              <w:left w:val="nil"/>
              <w:bottom w:val="single" w:color="auto" w:sz="4" w:space="0"/>
              <w:right w:val="nil"/>
            </w:tcBorders>
            <w:noWrap w:val="0"/>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79" w:hRule="atLeast"/>
        </w:trPr>
        <w:tc>
          <w:tcPr>
            <w:tcW w:w="3051"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项目名称</w:t>
            </w:r>
          </w:p>
        </w:tc>
        <w:tc>
          <w:tcPr>
            <w:tcW w:w="11123" w:type="dxa"/>
            <w:gridSpan w:val="14"/>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全国两会维稳值班经费</w:t>
            </w:r>
          </w:p>
        </w:tc>
      </w:tr>
      <w:tr>
        <w:tblPrEx>
          <w:tblCellMar>
            <w:top w:w="0" w:type="dxa"/>
            <w:left w:w="108" w:type="dxa"/>
            <w:bottom w:w="0" w:type="dxa"/>
            <w:right w:w="108" w:type="dxa"/>
          </w:tblCellMar>
        </w:tblPrEx>
        <w:trPr>
          <w:trHeight w:val="379" w:hRule="atLeast"/>
        </w:trPr>
        <w:tc>
          <w:tcPr>
            <w:tcW w:w="3051" w:type="dxa"/>
            <w:gridSpan w:val="3"/>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主管部门及代码</w:t>
            </w:r>
          </w:p>
        </w:tc>
        <w:tc>
          <w:tcPr>
            <w:tcW w:w="4261" w:type="dxa"/>
            <w:gridSpan w:val="5"/>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香河县信访局</w:t>
            </w:r>
          </w:p>
        </w:tc>
        <w:tc>
          <w:tcPr>
            <w:tcW w:w="6862" w:type="dxa"/>
            <w:gridSpan w:val="9"/>
            <w:tcBorders>
              <w:top w:val="single" w:color="auto" w:sz="4" w:space="0"/>
              <w:left w:val="nil"/>
              <w:bottom w:val="single" w:color="auto" w:sz="4" w:space="0"/>
              <w:right w:val="single" w:color="000000" w:sz="4" w:space="0"/>
            </w:tcBorders>
            <w:noWrap w:val="0"/>
            <w:vAlign w:val="center"/>
          </w:tcPr>
          <w:p>
            <w:pPr>
              <w:jc w:val="left"/>
              <w:rPr>
                <w:rFonts w:ascii="宋体" w:hAnsi="宋体" w:cs="宋体"/>
                <w:color w:val="000000"/>
                <w:kern w:val="0"/>
                <w:sz w:val="24"/>
              </w:rPr>
            </w:pPr>
            <w:r>
              <w:rPr>
                <w:rFonts w:hint="eastAsia" w:ascii="宋体" w:hAnsi="宋体" w:cs="宋体"/>
                <w:color w:val="000000"/>
                <w:kern w:val="0"/>
                <w:sz w:val="24"/>
              </w:rPr>
              <w:t>实施单位：香河县信访局</w:t>
            </w:r>
          </w:p>
        </w:tc>
      </w:tr>
      <w:tr>
        <w:tblPrEx>
          <w:tblCellMar>
            <w:top w:w="0" w:type="dxa"/>
            <w:left w:w="108" w:type="dxa"/>
            <w:bottom w:w="0" w:type="dxa"/>
            <w:right w:w="108" w:type="dxa"/>
          </w:tblCellMar>
        </w:tblPrEx>
        <w:trPr>
          <w:trHeight w:val="690" w:hRule="atLeast"/>
        </w:trPr>
        <w:tc>
          <w:tcPr>
            <w:tcW w:w="3051"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项目资金                    （万元）</w:t>
            </w:r>
          </w:p>
        </w:tc>
        <w:tc>
          <w:tcPr>
            <w:tcW w:w="318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23</w:t>
            </w:r>
          </w:p>
        </w:tc>
        <w:tc>
          <w:tcPr>
            <w:tcW w:w="108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年初预算数（A）</w:t>
            </w:r>
          </w:p>
        </w:tc>
        <w:tc>
          <w:tcPr>
            <w:tcW w:w="12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全年执行数（B）</w:t>
            </w:r>
          </w:p>
        </w:tc>
        <w:tc>
          <w:tcPr>
            <w:tcW w:w="12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分值（10分）</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执行率（B/A)</w:t>
            </w:r>
          </w:p>
        </w:tc>
        <w:tc>
          <w:tcPr>
            <w:tcW w:w="94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得分</w:t>
            </w:r>
          </w:p>
        </w:tc>
        <w:tc>
          <w:tcPr>
            <w:tcW w:w="218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r>
      <w:tr>
        <w:tblPrEx>
          <w:tblCellMar>
            <w:top w:w="0" w:type="dxa"/>
            <w:left w:w="108" w:type="dxa"/>
            <w:bottom w:w="0" w:type="dxa"/>
            <w:right w:w="108" w:type="dxa"/>
          </w:tblCellMar>
        </w:tblPrEx>
        <w:trPr>
          <w:trHeight w:val="379" w:hRule="atLeast"/>
        </w:trPr>
        <w:tc>
          <w:tcPr>
            <w:tcW w:w="3051"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3181"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年度资金总额：</w:t>
            </w:r>
          </w:p>
        </w:tc>
        <w:tc>
          <w:tcPr>
            <w:tcW w:w="108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2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2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945" w:type="dxa"/>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10</w:t>
            </w:r>
          </w:p>
        </w:tc>
        <w:tc>
          <w:tcPr>
            <w:tcW w:w="2182"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执行率*该指标分值，最高不得超过分值上限。</w:t>
            </w:r>
          </w:p>
        </w:tc>
      </w:tr>
      <w:tr>
        <w:tblPrEx>
          <w:tblCellMar>
            <w:top w:w="0" w:type="dxa"/>
            <w:left w:w="108" w:type="dxa"/>
            <w:bottom w:w="0" w:type="dxa"/>
            <w:right w:w="108" w:type="dxa"/>
          </w:tblCellMar>
        </w:tblPrEx>
        <w:trPr>
          <w:trHeight w:val="379" w:hRule="atLeast"/>
        </w:trPr>
        <w:tc>
          <w:tcPr>
            <w:tcW w:w="3051"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3181"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其中：财政拨款</w:t>
            </w:r>
          </w:p>
        </w:tc>
        <w:tc>
          <w:tcPr>
            <w:tcW w:w="1080" w:type="dxa"/>
            <w:gridSpan w:val="3"/>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2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23</w:t>
            </w:r>
          </w:p>
        </w:tc>
        <w:tc>
          <w:tcPr>
            <w:tcW w:w="12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94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rPr>
          <w:trHeight w:val="379" w:hRule="atLeast"/>
        </w:trPr>
        <w:tc>
          <w:tcPr>
            <w:tcW w:w="3051"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color w:val="000000"/>
                <w:kern w:val="0"/>
                <w:sz w:val="24"/>
              </w:rPr>
            </w:pPr>
          </w:p>
        </w:tc>
        <w:tc>
          <w:tcPr>
            <w:tcW w:w="3181"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xml:space="preserve">          其他资金</w:t>
            </w:r>
          </w:p>
        </w:tc>
        <w:tc>
          <w:tcPr>
            <w:tcW w:w="1080" w:type="dxa"/>
            <w:gridSpan w:val="3"/>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29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30"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945" w:type="dxa"/>
            <w:gridSpan w:val="2"/>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1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2795" w:hRule="atLeast"/>
        </w:trPr>
        <w:tc>
          <w:tcPr>
            <w:tcW w:w="860" w:type="dxa"/>
            <w:tcBorders>
              <w:top w:val="nil"/>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年度总体目标</w:t>
            </w:r>
          </w:p>
        </w:tc>
        <w:tc>
          <w:tcPr>
            <w:tcW w:w="6452" w:type="dxa"/>
            <w:gridSpan w:val="7"/>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年初设定目标：通过开展全国两会期间信访维稳值班工作，及时发现处置劝返我县进京越级访的各类人员，以及突发群体性事件，确保两会期间社会和谐稳定。</w:t>
            </w:r>
          </w:p>
          <w:p>
            <w:pPr>
              <w:jc w:val="left"/>
              <w:rPr>
                <w:rFonts w:ascii="宋体" w:hAnsi="宋体" w:cs="宋体"/>
                <w:color w:val="000000"/>
                <w:kern w:val="0"/>
                <w:sz w:val="24"/>
              </w:rPr>
            </w:pPr>
            <w:r>
              <w:rPr>
                <w:rFonts w:hint="eastAsia" w:ascii="宋体" w:hAnsi="宋体" w:cs="宋体"/>
                <w:color w:val="000000"/>
                <w:kern w:val="0"/>
                <w:sz w:val="24"/>
              </w:rPr>
              <w:t xml:space="preserve">  </w:t>
            </w:r>
          </w:p>
        </w:tc>
        <w:tc>
          <w:tcPr>
            <w:tcW w:w="6862" w:type="dxa"/>
            <w:gridSpan w:val="9"/>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cs="宋体"/>
                <w:color w:val="000000"/>
                <w:kern w:val="0"/>
                <w:sz w:val="24"/>
              </w:rPr>
            </w:pPr>
            <w:r>
              <w:rPr>
                <w:rFonts w:hint="eastAsia" w:ascii="宋体" w:hAnsi="宋体" w:cs="宋体"/>
                <w:color w:val="000000"/>
                <w:kern w:val="0"/>
                <w:sz w:val="24"/>
              </w:rPr>
              <w:t>年度总体目标完成情况综述：通过开展全国两会期间信访维稳值班工作，及时发现处置劝返我县进京越级访的各类人员，以及突发群体性事件，确保两会期间社会和谐稳定。</w:t>
            </w:r>
          </w:p>
          <w:p>
            <w:pPr>
              <w:widowControl/>
              <w:ind w:firstLine="480" w:firstLineChars="200"/>
              <w:jc w:val="left"/>
              <w:rPr>
                <w:rFonts w:ascii="宋体" w:hAnsi="宋体" w:cs="宋体"/>
                <w:color w:val="000000"/>
                <w:kern w:val="0"/>
                <w:sz w:val="24"/>
              </w:rPr>
            </w:pPr>
            <w:r>
              <w:rPr>
                <w:rFonts w:ascii="宋体" w:hAnsi="宋体" w:cs="宋体"/>
                <w:color w:val="000000"/>
                <w:kern w:val="0"/>
                <w:sz w:val="24"/>
              </w:rPr>
              <w:t xml:space="preserve">  </w:t>
            </w:r>
          </w:p>
        </w:tc>
      </w:tr>
      <w:tr>
        <w:tblPrEx>
          <w:tblCellMar>
            <w:top w:w="0" w:type="dxa"/>
            <w:left w:w="108" w:type="dxa"/>
            <w:bottom w:w="0" w:type="dxa"/>
            <w:right w:w="108" w:type="dxa"/>
          </w:tblCellMar>
        </w:tblPrEx>
        <w:trPr>
          <w:trHeight w:val="1536" w:hRule="atLeast"/>
        </w:trPr>
        <w:tc>
          <w:tcPr>
            <w:tcW w:w="86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jc w:val="center"/>
              <w:rPr>
                <w:rFonts w:ascii="宋体" w:hAnsi="宋体" w:cs="宋体"/>
                <w:color w:val="000000"/>
                <w:kern w:val="0"/>
                <w:sz w:val="24"/>
              </w:rPr>
            </w:pPr>
            <w:r>
              <w:rPr>
                <w:rFonts w:hint="eastAsia" w:ascii="宋体" w:hAnsi="宋体" w:cs="宋体"/>
                <w:color w:val="000000"/>
                <w:kern w:val="0"/>
                <w:sz w:val="24"/>
              </w:rPr>
              <w:t>绩效指标</w:t>
            </w:r>
          </w:p>
        </w:tc>
        <w:tc>
          <w:tcPr>
            <w:tcW w:w="9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一级指标</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二级指标</w:t>
            </w: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三级指标</w:t>
            </w:r>
          </w:p>
        </w:tc>
        <w:tc>
          <w:tcPr>
            <w:tcW w:w="81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分值</w:t>
            </w:r>
          </w:p>
        </w:tc>
        <w:tc>
          <w:tcPr>
            <w:tcW w:w="9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年度指标值(A)</w:t>
            </w:r>
          </w:p>
        </w:tc>
        <w:tc>
          <w:tcPr>
            <w:tcW w:w="8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全年实际值(B)</w:t>
            </w:r>
          </w:p>
        </w:tc>
        <w:tc>
          <w:tcPr>
            <w:tcW w:w="25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得分计算方法</w:t>
            </w:r>
          </w:p>
        </w:tc>
        <w:tc>
          <w:tcPr>
            <w:tcW w:w="91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得分</w:t>
            </w:r>
          </w:p>
        </w:tc>
        <w:tc>
          <w:tcPr>
            <w:tcW w:w="2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未完成原因分析</w:t>
            </w:r>
          </w:p>
        </w:tc>
      </w:tr>
    </w:tbl>
    <w:p/>
    <w:tbl>
      <w:tblPr>
        <w:tblStyle w:val="6"/>
        <w:tblW w:w="0" w:type="auto"/>
        <w:tblInd w:w="0" w:type="dxa"/>
        <w:tblLayout w:type="fixed"/>
        <w:tblCellMar>
          <w:top w:w="0" w:type="dxa"/>
          <w:left w:w="108" w:type="dxa"/>
          <w:bottom w:w="0" w:type="dxa"/>
          <w:right w:w="108" w:type="dxa"/>
        </w:tblCellMar>
      </w:tblPr>
      <w:tblGrid>
        <w:gridCol w:w="860"/>
        <w:gridCol w:w="927"/>
        <w:gridCol w:w="1264"/>
        <w:gridCol w:w="2497"/>
        <w:gridCol w:w="816"/>
        <w:gridCol w:w="879"/>
        <w:gridCol w:w="944"/>
        <w:gridCol w:w="2594"/>
        <w:gridCol w:w="913"/>
        <w:gridCol w:w="2480"/>
      </w:tblGrid>
      <w:tr>
        <w:tblPrEx>
          <w:tblCellMar>
            <w:top w:w="0" w:type="dxa"/>
            <w:left w:w="108" w:type="dxa"/>
            <w:bottom w:w="0" w:type="dxa"/>
            <w:right w:w="108" w:type="dxa"/>
          </w:tblCellMar>
        </w:tblPrEx>
        <w:trPr>
          <w:trHeight w:val="2901" w:hRule="atLeast"/>
        </w:trPr>
        <w:tc>
          <w:tcPr>
            <w:tcW w:w="860" w:type="dxa"/>
            <w:vMerge w:val="restart"/>
            <w:tcBorders>
              <w:top w:val="single" w:color="auto" w:sz="4" w:space="0"/>
              <w:left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产</w:t>
            </w:r>
            <w:r>
              <w:rPr>
                <w:rFonts w:hint="eastAsia" w:ascii="宋体" w:hAnsi="宋体" w:cs="宋体"/>
                <w:kern w:val="0"/>
                <w:sz w:val="24"/>
              </w:rPr>
              <w:br w:type="textWrapping"/>
            </w:r>
            <w:r>
              <w:rPr>
                <w:rFonts w:hint="eastAsia" w:ascii="宋体" w:hAnsi="宋体" w:cs="宋体"/>
                <w:kern w:val="0"/>
                <w:sz w:val="24"/>
              </w:rPr>
              <w:t>出</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(50分)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数量指标</w:t>
            </w: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处理进京访数量</w:t>
            </w:r>
          </w:p>
        </w:tc>
        <w:tc>
          <w:tcPr>
            <w:tcW w:w="816"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879"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≤50件</w:t>
            </w:r>
          </w:p>
        </w:tc>
        <w:tc>
          <w:tcPr>
            <w:tcW w:w="944" w:type="dxa"/>
            <w:tcBorders>
              <w:top w:val="single" w:color="auto" w:sz="4" w:space="0"/>
              <w:left w:val="nil"/>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20件</w:t>
            </w:r>
          </w:p>
        </w:tc>
        <w:tc>
          <w:tcPr>
            <w:tcW w:w="2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完成值达到指标值，记满分；未达到指标值，按B/A或A/B*该指标分值记分。</w:t>
            </w:r>
          </w:p>
        </w:tc>
        <w:tc>
          <w:tcPr>
            <w:tcW w:w="913" w:type="dxa"/>
            <w:tcBorders>
              <w:top w:val="single" w:color="auto" w:sz="4" w:space="0"/>
              <w:left w:val="nil"/>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24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783" w:hRule="atLeast"/>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质量指标</w:t>
            </w: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群体性事件成功处置率</w:t>
            </w:r>
          </w:p>
        </w:tc>
        <w:tc>
          <w:tcPr>
            <w:tcW w:w="816" w:type="dxa"/>
            <w:tcBorders>
              <w:top w:val="single" w:color="auto" w:sz="4" w:space="0"/>
              <w:left w:val="single" w:color="auto" w:sz="4" w:space="0"/>
              <w:right w:val="single" w:color="auto" w:sz="4" w:space="0"/>
            </w:tcBorders>
            <w:noWrap w:val="0"/>
            <w:vAlign w:val="center"/>
          </w:tcPr>
          <w:p>
            <w:pPr>
              <w:widowControl/>
              <w:ind w:firstLine="240" w:firstLineChars="100"/>
              <w:rPr>
                <w:rFonts w:ascii="宋体" w:hAnsi="宋体" w:cs="宋体"/>
                <w:color w:val="000000"/>
                <w:kern w:val="0"/>
                <w:sz w:val="24"/>
              </w:rPr>
            </w:pPr>
            <w:r>
              <w:rPr>
                <w:rFonts w:hint="eastAsia" w:ascii="宋体" w:hAnsi="宋体" w:cs="宋体"/>
                <w:color w:val="000000"/>
                <w:kern w:val="0"/>
                <w:sz w:val="24"/>
              </w:rPr>
              <w:t>20</w:t>
            </w:r>
          </w:p>
        </w:tc>
        <w:tc>
          <w:tcPr>
            <w:tcW w:w="879" w:type="dxa"/>
            <w:tcBorders>
              <w:top w:val="single" w:color="auto" w:sz="4" w:space="0"/>
              <w:left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≥90%</w:t>
            </w:r>
          </w:p>
        </w:tc>
        <w:tc>
          <w:tcPr>
            <w:tcW w:w="944"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100%</w:t>
            </w:r>
          </w:p>
        </w:tc>
        <w:tc>
          <w:tcPr>
            <w:tcW w:w="259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1.若为定性指标，则根据“四档”原则分别按照指标分值的100-90%(含90%)、90-75%(含75%)、75-60%(含60%)、60-0%来记分。2.若为定量指标，完成值达到指标值，记满分；未达到指标值，按B/A或A/B*该指标分值记分。</w:t>
            </w:r>
          </w:p>
        </w:tc>
        <w:tc>
          <w:tcPr>
            <w:tcW w:w="913" w:type="dxa"/>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2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1280" w:hRule="atLeast"/>
        </w:trPr>
        <w:tc>
          <w:tcPr>
            <w:tcW w:w="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进度指标</w:t>
            </w:r>
          </w:p>
        </w:tc>
        <w:tc>
          <w:tcPr>
            <w:tcW w:w="2497"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全国两会期间</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879"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3月份</w:t>
            </w:r>
          </w:p>
        </w:tc>
        <w:tc>
          <w:tcPr>
            <w:tcW w:w="9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3月份</w:t>
            </w:r>
          </w:p>
        </w:tc>
        <w:tc>
          <w:tcPr>
            <w:tcW w:w="2594"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1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24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1821" w:hRule="atLeast"/>
        </w:trPr>
        <w:tc>
          <w:tcPr>
            <w:tcW w:w="8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成本指标</w:t>
            </w: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申请金额</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宋体" w:hAnsi="宋体" w:cs="宋体"/>
                <w:color w:val="000000"/>
                <w:kern w:val="0"/>
                <w:sz w:val="24"/>
              </w:rPr>
            </w:pPr>
            <w:r>
              <w:rPr>
                <w:rFonts w:hint="eastAsia" w:ascii="宋体" w:hAnsi="宋体" w:cs="宋体"/>
                <w:color w:val="000000"/>
                <w:kern w:val="0"/>
                <w:sz w:val="24"/>
              </w:rPr>
              <w:t>10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23万</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23万</w:t>
            </w:r>
          </w:p>
        </w:tc>
        <w:tc>
          <w:tcPr>
            <w:tcW w:w="25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24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3249" w:hRule="atLeast"/>
        </w:trPr>
        <w:tc>
          <w:tcPr>
            <w:tcW w:w="8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2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w:t>
            </w:r>
            <w:r>
              <w:rPr>
                <w:rFonts w:hint="eastAsia" w:ascii="宋体" w:hAnsi="宋体" w:cs="宋体"/>
                <w:kern w:val="0"/>
                <w:sz w:val="24"/>
              </w:rPr>
              <w:br w:type="textWrapping"/>
            </w:r>
            <w:r>
              <w:rPr>
                <w:rFonts w:hint="eastAsia" w:ascii="宋体" w:hAnsi="宋体" w:cs="宋体"/>
                <w:kern w:val="0"/>
                <w:sz w:val="24"/>
              </w:rPr>
              <w:t>果</w:t>
            </w:r>
            <w:r>
              <w:rPr>
                <w:rFonts w:hint="eastAsia" w:ascii="宋体" w:hAnsi="宋体" w:cs="宋体"/>
                <w:kern w:val="0"/>
                <w:sz w:val="24"/>
              </w:rPr>
              <w:br w:type="textWrapping"/>
            </w:r>
            <w:r>
              <w:rPr>
                <w:rFonts w:hint="eastAsia" w:ascii="宋体" w:hAnsi="宋体" w:cs="宋体"/>
                <w:kern w:val="0"/>
                <w:sz w:val="24"/>
              </w:rPr>
              <w:t>指</w:t>
            </w:r>
            <w:r>
              <w:rPr>
                <w:rFonts w:hint="eastAsia" w:ascii="宋体" w:hAnsi="宋体" w:cs="宋体"/>
                <w:kern w:val="0"/>
                <w:sz w:val="24"/>
              </w:rPr>
              <w:br w:type="textWrapping"/>
            </w:r>
            <w:r>
              <w:rPr>
                <w:rFonts w:hint="eastAsia" w:ascii="宋体" w:hAnsi="宋体" w:cs="宋体"/>
                <w:kern w:val="0"/>
                <w:sz w:val="24"/>
              </w:rPr>
              <w:t>标</w:t>
            </w:r>
            <w:r>
              <w:rPr>
                <w:rFonts w:hint="eastAsia" w:ascii="宋体" w:hAnsi="宋体" w:cs="宋体"/>
                <w:kern w:val="0"/>
                <w:sz w:val="24"/>
              </w:rPr>
              <w:br w:type="textWrapping"/>
            </w:r>
            <w:r>
              <w:rPr>
                <w:rFonts w:hint="eastAsia" w:ascii="宋体" w:hAnsi="宋体" w:cs="宋体"/>
                <w:kern w:val="0"/>
                <w:sz w:val="24"/>
              </w:rPr>
              <w:t>(40分)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4"/>
              </w:rPr>
            </w:pPr>
          </w:p>
          <w:p>
            <w:pPr>
              <w:widowControl/>
              <w:jc w:val="center"/>
              <w:rPr>
                <w:rFonts w:hint="eastAsia" w:ascii="宋体" w:hAnsi="宋体" w:cs="宋体"/>
                <w:kern w:val="0"/>
                <w:sz w:val="24"/>
              </w:rPr>
            </w:pPr>
            <w:r>
              <w:rPr>
                <w:rFonts w:hint="eastAsia" w:ascii="宋体" w:hAnsi="宋体" w:cs="宋体"/>
                <w:kern w:val="0"/>
                <w:sz w:val="24"/>
              </w:rPr>
              <w:t>效益指标</w:t>
            </w:r>
          </w:p>
        </w:tc>
        <w:tc>
          <w:tcPr>
            <w:tcW w:w="2497" w:type="dxa"/>
            <w:tcBorders>
              <w:top w:val="single" w:color="auto" w:sz="4" w:space="0"/>
              <w:left w:val="nil"/>
              <w:bottom w:val="single" w:color="auto" w:sz="4" w:space="0"/>
              <w:right w:val="single" w:color="auto" w:sz="4" w:space="0"/>
            </w:tcBorders>
            <w:noWrap w:val="0"/>
            <w:vAlign w:val="center"/>
          </w:tcPr>
          <w:p>
            <w:pPr>
              <w:widowControl/>
              <w:ind w:firstLine="480" w:firstLineChars="200"/>
              <w:jc w:val="left"/>
              <w:rPr>
                <w:rFonts w:ascii="宋体" w:hAnsi="宋体" w:cs="宋体"/>
                <w:color w:val="000000"/>
                <w:kern w:val="0"/>
                <w:sz w:val="24"/>
              </w:rPr>
            </w:pPr>
            <w:r>
              <w:rPr>
                <w:rFonts w:hint="eastAsia" w:ascii="宋体" w:hAnsi="宋体" w:cs="宋体"/>
                <w:color w:val="000000"/>
                <w:kern w:val="0"/>
                <w:sz w:val="24"/>
              </w:rPr>
              <w:t>降低重大政治活动期间语法信访事件发生率</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20</w:t>
            </w:r>
          </w:p>
        </w:tc>
        <w:tc>
          <w:tcPr>
            <w:tcW w:w="87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94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2594" w:type="dxa"/>
            <w:tcBorders>
              <w:top w:val="single" w:color="auto" w:sz="4" w:space="0"/>
              <w:left w:val="single" w:color="auto" w:sz="4" w:space="0"/>
              <w:bottom w:val="single" w:color="auto" w:sz="4" w:space="0"/>
              <w:right w:val="nil"/>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1.若为定性指标，则根据“四档”原则分别按照指标分值的100-90%(含90%)、90-75%(含75%)、75-60%（含60%）、60-0%来记分。</w:t>
            </w:r>
            <w:r>
              <w:rPr>
                <w:rFonts w:hint="eastAsia" w:ascii="宋体" w:hAnsi="宋体" w:cs="宋体"/>
                <w:color w:val="000000"/>
                <w:kern w:val="0"/>
                <w:sz w:val="24"/>
              </w:rPr>
              <w:br w:type="textWrapping"/>
            </w:r>
            <w:r>
              <w:rPr>
                <w:rFonts w:hint="eastAsia" w:ascii="宋体" w:hAnsi="宋体" w:cs="宋体"/>
                <w:color w:val="000000"/>
                <w:kern w:val="0"/>
                <w:sz w:val="24"/>
              </w:rPr>
              <w:t>2.若为定量指标，完成值达到指标值，记满分；未达到指标值，按B/A或A/B*该指标分值记分。</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24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1587" w:hRule="atLeast"/>
        </w:trPr>
        <w:tc>
          <w:tcPr>
            <w:tcW w:w="8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c>
          <w:tcPr>
            <w:tcW w:w="927"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服务对象</w:t>
            </w:r>
            <w:r>
              <w:rPr>
                <w:rFonts w:hint="eastAsia" w:ascii="宋体" w:hAnsi="宋体" w:cs="宋体"/>
                <w:kern w:val="0"/>
                <w:sz w:val="24"/>
              </w:rPr>
              <w:br w:type="textWrapping"/>
            </w:r>
            <w:r>
              <w:rPr>
                <w:rFonts w:hint="eastAsia" w:ascii="宋体" w:hAnsi="宋体" w:cs="宋体"/>
                <w:kern w:val="0"/>
                <w:sz w:val="24"/>
              </w:rPr>
              <w:t>满意度指标</w:t>
            </w:r>
          </w:p>
        </w:tc>
        <w:tc>
          <w:tcPr>
            <w:tcW w:w="249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上级主管部门认可</w:t>
            </w:r>
          </w:p>
        </w:tc>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24"/>
              </w:rPr>
            </w:pPr>
            <w:r>
              <w:rPr>
                <w:rFonts w:hint="eastAsia" w:ascii="宋体" w:hAnsi="宋体" w:cs="宋体"/>
                <w:color w:val="000000"/>
                <w:kern w:val="0"/>
                <w:sz w:val="24"/>
              </w:rPr>
              <w:t>≥90%</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100%</w:t>
            </w:r>
          </w:p>
        </w:tc>
        <w:tc>
          <w:tcPr>
            <w:tcW w:w="2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同效益指标得分计算方式。</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10</w:t>
            </w:r>
          </w:p>
        </w:tc>
        <w:tc>
          <w:tcPr>
            <w:tcW w:w="24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591" w:hRule="atLeast"/>
        </w:trPr>
        <w:tc>
          <w:tcPr>
            <w:tcW w:w="14174"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4"/>
              </w:rPr>
            </w:pPr>
          </w:p>
          <w:p>
            <w:pPr>
              <w:widowControl/>
              <w:jc w:val="center"/>
              <w:rPr>
                <w:rFonts w:ascii="宋体" w:hAnsi="宋体" w:cs="宋体"/>
                <w:b/>
                <w:bCs/>
                <w:color w:val="000000"/>
                <w:kern w:val="0"/>
                <w:sz w:val="24"/>
              </w:rPr>
            </w:pPr>
            <w:r>
              <w:rPr>
                <w:rFonts w:hint="eastAsia" w:ascii="宋体" w:hAnsi="宋体" w:cs="宋体"/>
                <w:b/>
                <w:bCs/>
                <w:color w:val="000000"/>
                <w:kern w:val="0"/>
                <w:sz w:val="24"/>
              </w:rPr>
              <w:t>总分：100</w:t>
            </w:r>
          </w:p>
          <w:p>
            <w:pPr>
              <w:widowControl/>
              <w:jc w:val="center"/>
              <w:rPr>
                <w:rFonts w:ascii="宋体" w:hAnsi="宋体" w:cs="宋体"/>
                <w:color w:val="000000"/>
                <w:kern w:val="0"/>
                <w:sz w:val="24"/>
              </w:rPr>
            </w:pPr>
          </w:p>
        </w:tc>
      </w:tr>
    </w:tbl>
    <w:p>
      <w:pPr>
        <w:widowControl w:val="0"/>
        <w:numPr>
          <w:ilvl w:val="0"/>
          <w:numId w:val="0"/>
        </w:numPr>
        <w:adjustRightInd w:val="0"/>
        <w:snapToGrid w:val="0"/>
        <w:spacing w:line="580" w:lineRule="exact"/>
        <w:jc w:val="both"/>
        <w:rPr>
          <w:rFonts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widowControl w:val="0"/>
        <w:numPr>
          <w:ilvl w:val="0"/>
          <w:numId w:val="0"/>
        </w:numPr>
        <w:adjustRightInd w:val="0"/>
        <w:snapToGrid w:val="0"/>
        <w:spacing w:line="580" w:lineRule="exact"/>
        <w:jc w:val="both"/>
        <w:rPr>
          <w:rFonts w:hint="eastAsia" w:ascii="仿宋_GB2312" w:hAnsi="仿宋_GB2312" w:eastAsia="仿宋_GB2312" w:cs="仿宋_GB2312"/>
          <w:sz w:val="32"/>
          <w:szCs w:val="32"/>
        </w:rPr>
      </w:pPr>
    </w:p>
    <w:p>
      <w:pPr>
        <w:keepNext/>
        <w:keepLines/>
        <w:numPr>
          <w:ilvl w:val="0"/>
          <w:numId w:val="4"/>
        </w:numPr>
        <w:snapToGrid w:val="0"/>
        <w:spacing w:line="580" w:lineRule="exact"/>
        <w:ind w:firstLine="643" w:firstLineChars="200"/>
        <w:outlineLvl w:val="1"/>
        <w:rPr>
          <w:rFonts w:hint="default"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val="en-US" w:eastAsia="zh-CN"/>
        </w:rPr>
        <w:t xml:space="preserve"> </w:t>
      </w:r>
    </w:p>
    <w:p>
      <w:pPr>
        <w:keepNext/>
        <w:keepLines/>
        <w:numPr>
          <w:ilvl w:val="0"/>
          <w:numId w:val="0"/>
        </w:numPr>
        <w:snapToGrid w:val="0"/>
        <w:spacing w:line="580" w:lineRule="exact"/>
        <w:outlineLvl w:val="1"/>
        <w:rPr>
          <w:rFonts w:hint="default"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无内容。</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1820.33</w:t>
      </w:r>
      <w:r>
        <w:rPr>
          <w:rFonts w:hint="eastAsia" w:ascii="仿宋_GB2312" w:hAnsi="Times New Roman" w:eastAsia="仿宋_GB2312" w:cs="DengXian-Regular"/>
          <w:sz w:val="32"/>
          <w:szCs w:val="32"/>
        </w:rPr>
        <w:t>万元，比2018年度</w:t>
      </w:r>
      <w:r>
        <w:rPr>
          <w:rFonts w:hint="eastAsia" w:ascii="仿宋_GB2312" w:hAnsi="Times New Roman" w:eastAsia="仿宋_GB2312" w:cs="DengXian-Regular"/>
          <w:sz w:val="32"/>
          <w:szCs w:val="32"/>
          <w:lang w:val="en-US" w:eastAsia="zh-CN"/>
        </w:rPr>
        <w:t>减少15.65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降低0.9</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信访维稳经费支出比2018年度减少</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相同</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相同</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val="en-US" w:eastAsia="zh-CN"/>
        </w:rPr>
        <w:t>相同</w:t>
      </w:r>
      <w:r>
        <w:rPr>
          <w:rFonts w:hint="eastAsia" w:ascii="仿宋_GB2312" w:hAnsi="Times New Roman" w:eastAsia="仿宋_GB2312" w:cs="DengXian-Regular"/>
          <w:sz w:val="32"/>
          <w:szCs w:val="32"/>
        </w:rPr>
        <w:t>。</w:t>
      </w:r>
    </w:p>
    <w:p>
      <w:pPr>
        <w:keepNext/>
        <w:keepLines/>
        <w:numPr>
          <w:ilvl w:val="0"/>
          <w:numId w:val="2"/>
        </w:numPr>
        <w:snapToGrid w:val="0"/>
        <w:spacing w:line="580" w:lineRule="exact"/>
        <w:ind w:left="0" w:leftChars="0" w:firstLine="643" w:firstLineChars="200"/>
        <w:outlineLvl w:val="2"/>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其他需要说明的情况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lang w:val="en-US" w:eastAsia="zh-CN"/>
        </w:rPr>
        <w:t>.</w:t>
      </w:r>
      <w:r>
        <w:rPr>
          <w:rFonts w:ascii="仿宋" w:hAnsi="仿宋" w:eastAsia="仿宋"/>
          <w:sz w:val="32"/>
          <w:szCs w:val="32"/>
        </w:rPr>
        <w:t>本部门201</w:t>
      </w:r>
      <w:r>
        <w:rPr>
          <w:rFonts w:hint="eastAsia" w:ascii="仿宋" w:hAnsi="仿宋" w:eastAsia="仿宋"/>
          <w:sz w:val="32"/>
          <w:szCs w:val="32"/>
          <w:lang w:val="en-US" w:eastAsia="zh-CN"/>
        </w:rPr>
        <w:t>9</w:t>
      </w:r>
      <w:r>
        <w:rPr>
          <w:rFonts w:ascii="仿宋" w:hAnsi="仿宋" w:eastAsia="仿宋"/>
          <w:sz w:val="32"/>
          <w:szCs w:val="32"/>
        </w:rPr>
        <w:t>年度无</w:t>
      </w:r>
      <w:r>
        <w:rPr>
          <w:rFonts w:hint="eastAsia" w:ascii="仿宋" w:hAnsi="仿宋" w:eastAsia="仿宋"/>
          <w:sz w:val="32"/>
          <w:szCs w:val="32"/>
        </w:rPr>
        <w:t>政府性基金预算和国有资本经营预算财政拨款，</w:t>
      </w:r>
      <w:r>
        <w:rPr>
          <w:rFonts w:ascii="仿宋" w:hAnsi="仿宋" w:eastAsia="仿宋"/>
          <w:sz w:val="32"/>
          <w:szCs w:val="32"/>
        </w:rPr>
        <w:t>故</w:t>
      </w:r>
      <w:r>
        <w:rPr>
          <w:rFonts w:hint="eastAsia" w:ascii="仿宋" w:hAnsi="仿宋" w:eastAsia="仿宋"/>
          <w:sz w:val="32"/>
          <w:szCs w:val="32"/>
        </w:rPr>
        <w:t>政府性基金预算财政拨款收入支出决算表、国有资本经营预算财政拨款收入支出决算表</w:t>
      </w:r>
      <w:r>
        <w:rPr>
          <w:rFonts w:ascii="仿宋" w:hAnsi="仿宋" w:eastAsia="仿宋"/>
          <w:sz w:val="32"/>
          <w:szCs w:val="32"/>
        </w:rPr>
        <w:t>以空表列示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8"/>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3" w:type="default"/>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28"/>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031"/>
        <w:gridCol w:w="696"/>
        <w:gridCol w:w="931"/>
        <w:gridCol w:w="3221"/>
        <w:gridCol w:w="794"/>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收入支出决算总表</w:t>
            </w:r>
          </w:p>
        </w:tc>
      </w:tr>
      <w:tr>
        <w:tblPrEx>
          <w:tblCellMar>
            <w:top w:w="0" w:type="dxa"/>
            <w:left w:w="0" w:type="dxa"/>
            <w:bottom w:w="0" w:type="dxa"/>
            <w:right w:w="0" w:type="dxa"/>
          </w:tblCellMar>
        </w:tblPrEx>
        <w:trPr>
          <w:trHeight w:val="205" w:hRule="atLeast"/>
          <w:jc w:val="center"/>
        </w:trPr>
        <w:tc>
          <w:tcPr>
            <w:tcW w:w="30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公开01表</w:t>
            </w:r>
          </w:p>
        </w:tc>
      </w:tr>
      <w:tr>
        <w:tblPrEx>
          <w:tblCellMar>
            <w:top w:w="0" w:type="dxa"/>
            <w:left w:w="0" w:type="dxa"/>
            <w:bottom w:w="0" w:type="dxa"/>
            <w:right w:w="0" w:type="dxa"/>
          </w:tblCellMar>
        </w:tblPrEx>
        <w:trPr>
          <w:trHeight w:val="421" w:hRule="atLeast"/>
          <w:jc w:val="center"/>
        </w:trPr>
        <w:tc>
          <w:tcPr>
            <w:tcW w:w="303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6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w:t>
            </w:r>
          </w:p>
        </w:tc>
      </w:tr>
      <w:tr>
        <w:tblPrEx>
          <w:tblCellMar>
            <w:top w:w="0" w:type="dxa"/>
            <w:left w:w="0" w:type="dxa"/>
            <w:bottom w:w="0" w:type="dxa"/>
            <w:right w:w="0" w:type="dxa"/>
          </w:tblCellMar>
        </w:tblPrEx>
        <w:trPr>
          <w:trHeight w:val="770"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一、一般公共预算财政拨款收入</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1954.16</w:t>
            </w: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2,007.79</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二、政府性基金预算财政拨款收入</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182"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三、上级补助收入</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四、事业收入</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五、经营收入</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六、附属单位上缴收入</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七、其他收入</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48.42</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6.78</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十八、自然资源海洋气象等支出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11.41</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二十一、灾害防治及应急管理支出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1954.16</w:t>
            </w: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2074.40</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用事业基金弥补收支差额</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结余分配</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166.20</w:t>
            </w: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45.96</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30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6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9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2120.36</w:t>
            </w:r>
            <w:r>
              <w:rPr>
                <w:rFonts w:hint="eastAsia" w:ascii="宋体" w:hAnsi="宋体" w:eastAsia="宋体" w:cs="宋体"/>
                <w:color w:val="000000"/>
                <w:kern w:val="0"/>
                <w:sz w:val="22"/>
                <w:lang w:bidi="ar"/>
              </w:rPr>
              <w:t>　</w:t>
            </w:r>
          </w:p>
        </w:tc>
        <w:tc>
          <w:tcPr>
            <w:tcW w:w="32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79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2120.36</w:t>
            </w:r>
            <w:r>
              <w:rPr>
                <w:rFonts w:hint="eastAsia" w:ascii="宋体" w:hAnsi="宋体" w:eastAsia="宋体" w:cs="宋体"/>
                <w:color w:val="000000"/>
                <w:kern w:val="0"/>
                <w:sz w:val="22"/>
                <w:lang w:bidi="ar"/>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注：本表反映部门本年度的总收支和年末结转结余情况。</w:t>
            </w:r>
          </w:p>
          <w:p>
            <w:pPr>
              <w:widowControl/>
              <w:jc w:val="left"/>
              <w:textAlignment w:val="center"/>
              <w:rPr>
                <w:rFonts w:ascii="宋体" w:hAnsi="宋体" w:eastAsia="宋体" w:cs="宋体"/>
                <w:color w:val="000000"/>
                <w:kern w:val="0"/>
                <w:sz w:val="22"/>
                <w:lang w:bidi="ar"/>
              </w:rPr>
            </w:pPr>
          </w:p>
          <w:p>
            <w:pPr>
              <w:widowControl/>
              <w:jc w:val="left"/>
              <w:textAlignment w:val="center"/>
              <w:rPr>
                <w:rFonts w:ascii="宋体" w:hAnsi="宋体" w:eastAsia="宋体" w:cs="宋体"/>
                <w:color w:val="000000"/>
                <w:kern w:val="0"/>
                <w:sz w:val="22"/>
                <w:lang w:bidi="ar"/>
              </w:rPr>
            </w:pPr>
          </w:p>
        </w:tc>
      </w:tr>
    </w:tbl>
    <w:tbl>
      <w:tblPr>
        <w:tblStyle w:val="6"/>
        <w:tblW w:w="9580" w:type="dxa"/>
        <w:jc w:val="center"/>
        <w:tblLayout w:type="autofit"/>
        <w:tblCellMar>
          <w:top w:w="0" w:type="dxa"/>
          <w:left w:w="0" w:type="dxa"/>
          <w:bottom w:w="0" w:type="dxa"/>
          <w:right w:w="0" w:type="dxa"/>
        </w:tblCellMar>
      </w:tblPr>
      <w:tblGrid>
        <w:gridCol w:w="3230"/>
        <w:gridCol w:w="36"/>
        <w:gridCol w:w="36"/>
        <w:gridCol w:w="1455"/>
        <w:gridCol w:w="1000"/>
        <w:gridCol w:w="1000"/>
        <w:gridCol w:w="565"/>
        <w:gridCol w:w="565"/>
        <w:gridCol w:w="565"/>
        <w:gridCol w:w="565"/>
        <w:gridCol w:w="566"/>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lang w:bidi="ar"/>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1954.16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1954.16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1,887.55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1,887.55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其他共产党事务支出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1,887.55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1,887.55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1,873.34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1,873.34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19.24</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29.19</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29.19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其他共产党事务支出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1,993.57</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29.19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096"/>
        <w:gridCol w:w="864"/>
        <w:gridCol w:w="1049"/>
        <w:gridCol w:w="2215"/>
        <w:gridCol w:w="612"/>
        <w:gridCol w:w="1040"/>
        <w:gridCol w:w="916"/>
        <w:gridCol w:w="728"/>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90" w:hRule="atLeast"/>
          <w:jc w:val="center"/>
        </w:trPr>
        <w:tc>
          <w:tcPr>
            <w:tcW w:w="20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1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8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90" w:hRule="atLeast"/>
          <w:jc w:val="center"/>
        </w:trPr>
        <w:tc>
          <w:tcPr>
            <w:tcW w:w="209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86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4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1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84"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     出</w:t>
            </w:r>
          </w:p>
        </w:tc>
      </w:tr>
      <w:tr>
        <w:tblPrEx>
          <w:tblCellMar>
            <w:top w:w="0" w:type="dxa"/>
            <w:left w:w="0" w:type="dxa"/>
            <w:bottom w:w="0" w:type="dxa"/>
            <w:right w:w="0" w:type="dxa"/>
          </w:tblCellMar>
        </w:tblPrEx>
        <w:trPr>
          <w:trHeight w:val="312" w:hRule="atLeast"/>
          <w:jc w:val="center"/>
        </w:trPr>
        <w:tc>
          <w:tcPr>
            <w:tcW w:w="20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8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0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金额</w:t>
            </w:r>
          </w:p>
        </w:tc>
        <w:tc>
          <w:tcPr>
            <w:tcW w:w="22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104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1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一般公共预算财政拨款</w:t>
            </w:r>
          </w:p>
        </w:tc>
        <w:tc>
          <w:tcPr>
            <w:tcW w:w="7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政府性基金预算财政拨款</w:t>
            </w:r>
          </w:p>
        </w:tc>
      </w:tr>
      <w:tr>
        <w:tblPrEx>
          <w:tblCellMar>
            <w:top w:w="0" w:type="dxa"/>
            <w:left w:w="0" w:type="dxa"/>
            <w:bottom w:w="0" w:type="dxa"/>
            <w:right w:w="0" w:type="dxa"/>
          </w:tblCellMar>
        </w:tblPrEx>
        <w:trPr>
          <w:trHeight w:val="312" w:hRule="atLeast"/>
          <w:jc w:val="center"/>
        </w:trPr>
        <w:tc>
          <w:tcPr>
            <w:tcW w:w="20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4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1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栏次</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1,954.16</w:t>
            </w: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一、一般公共服务支出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30</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二、外交支出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31</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三、国防支出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32</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四、公共安全支出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33</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五、教育支出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34</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六、科学技术支出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35</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七、文化旅游体育与传媒支出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36</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八、社会保障和就业支出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37</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九、卫生健康支出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38</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十、节能环保支出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39</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十一、城乡社区支出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40</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十二、农林水支出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41</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十三、交通运输支出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42</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十四、资源勘探信息等支出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43</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十五、商业服务业等支出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44</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十六、金融支出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45</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十七、援助其他地区支出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46</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18</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十八、自然资源海洋气象等支出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47</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19</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十九、住房保障支出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48</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20</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二十、粮油物资储备支出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49</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21</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二十一、灾害防治及应急管理支出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50</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22</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二十二、其他支出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51</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23</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二十四、债务付息支出</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52</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本年收入合计</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24</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1,954.16</w:t>
            </w: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本年支出合计</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53</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2,074.40</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2,074.40</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年初财政拨款结转和结余</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166.20</w:t>
            </w: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年末财政拨款结转和结余</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54</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45.96</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45.96</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一、一般公共预算财政拨款</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26</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166.20</w:t>
            </w: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55</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二、政府性基金预算财政拨款</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27</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56</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28</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57</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0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8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29</w:t>
            </w:r>
          </w:p>
        </w:tc>
        <w:tc>
          <w:tcPr>
            <w:tcW w:w="104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2,120.36</w:t>
            </w:r>
          </w:p>
        </w:tc>
        <w:tc>
          <w:tcPr>
            <w:tcW w:w="2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总计</w:t>
            </w:r>
          </w:p>
        </w:tc>
        <w:tc>
          <w:tcPr>
            <w:tcW w:w="6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58</w:t>
            </w:r>
          </w:p>
        </w:tc>
        <w:tc>
          <w:tcPr>
            <w:tcW w:w="10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2,120.36</w:t>
            </w:r>
          </w:p>
        </w:tc>
        <w:tc>
          <w:tcPr>
            <w:tcW w:w="91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2,120.36</w:t>
            </w:r>
          </w:p>
        </w:tc>
        <w:tc>
          <w:tcPr>
            <w:tcW w:w="7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注：本表反映部门本年度一般公共预算财政拨款和政府性基金预算财政拨款的总收支和年末结转结余情况。</w:t>
            </w:r>
          </w:p>
        </w:tc>
      </w:tr>
    </w:tbl>
    <w:p>
      <w:r>
        <w:br w:type="page"/>
      </w:r>
    </w:p>
    <w:tbl>
      <w:tblPr>
        <w:tblStyle w:val="6"/>
        <w:tblW w:w="9990" w:type="dxa"/>
        <w:jc w:val="center"/>
        <w:tblLayout w:type="autofit"/>
        <w:tblCellMar>
          <w:top w:w="0" w:type="dxa"/>
          <w:left w:w="0" w:type="dxa"/>
          <w:bottom w:w="0" w:type="dxa"/>
          <w:right w:w="0" w:type="dxa"/>
        </w:tblCellMar>
      </w:tblPr>
      <w:tblGrid>
        <w:gridCol w:w="3230"/>
        <w:gridCol w:w="36"/>
        <w:gridCol w:w="36"/>
        <w:gridCol w:w="1695"/>
        <w:gridCol w:w="2329"/>
        <w:gridCol w:w="2329"/>
        <w:gridCol w:w="335"/>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2074.40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2074.40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其他共产党事务支出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2,007.79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1,993.57</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1,993.57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2013602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14.22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9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2329"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48.42</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19.24</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19.24</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2080599</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29.19</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29.19</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6.78</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6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23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11.41</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223.91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1,802.43</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54.44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192.46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64.91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39.92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17.90</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1.11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19.24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6.78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0.47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154.31</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11.41</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25.64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50.50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30.16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17.9</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30.16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1,366.00</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1.07</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1.29</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15.66</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14.22</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2"/>
                <w:szCs w:val="22"/>
                <w:u w:val="none"/>
                <w:lang w:val="en-US" w:eastAsia="zh-CN" w:bidi="ar"/>
              </w:rPr>
              <w:t>254.07</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1,820.33</w:t>
            </w:r>
          </w:p>
        </w:tc>
      </w:tr>
    </w:tbl>
    <w:p>
      <w:r>
        <w:br w:type="page"/>
      </w:r>
    </w:p>
    <w:tbl>
      <w:tblPr>
        <w:tblStyle w:val="6"/>
        <w:tblW w:w="9220" w:type="dxa"/>
        <w:jc w:val="center"/>
        <w:tblLayout w:type="autofit"/>
        <w:tblCellMar>
          <w:top w:w="0" w:type="dxa"/>
          <w:left w:w="0" w:type="dxa"/>
          <w:bottom w:w="0" w:type="dxa"/>
          <w:right w:w="0" w:type="dxa"/>
        </w:tblCellMar>
      </w:tblPr>
      <w:tblGrid>
        <w:gridCol w:w="3230"/>
        <w:gridCol w:w="1226"/>
        <w:gridCol w:w="1064"/>
        <w:gridCol w:w="1064"/>
        <w:gridCol w:w="1064"/>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15.69</w:t>
            </w: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33.56</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17.90</w:t>
            </w: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15.66</w:t>
            </w: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3230"/>
        <w:gridCol w:w="36"/>
        <w:gridCol w:w="36"/>
        <w:gridCol w:w="910"/>
        <w:gridCol w:w="883"/>
        <w:gridCol w:w="883"/>
        <w:gridCol w:w="883"/>
        <w:gridCol w:w="883"/>
        <w:gridCol w:w="883"/>
        <w:gridCol w:w="883"/>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仿宋" w:hAnsi="仿宋" w:eastAsia="仿宋" w:cs="仿宋"/>
          <w:color w:val="000000" w:themeColor="text1"/>
          <w:sz w:val="32"/>
          <w:szCs w:val="32"/>
          <w:highlight w:val="none"/>
          <w:shd w:val="clear" w:color="auto" w:fill="auto"/>
          <w14:textFill>
            <w14:solidFill>
              <w14:schemeClr w14:val="tx1"/>
            </w14:solidFill>
          </w14:textFill>
        </w:rPr>
        <w:t>本部门本年度无相关收入（或支出、收支及结转结余等）情况，按要求空表列示。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部门：廊坊市香河县信访局（本级）</w:t>
            </w: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仿宋" w:hAnsi="仿宋" w:eastAsia="仿宋" w:cs="仿宋"/>
          <w:color w:val="000000" w:themeColor="text1"/>
          <w:sz w:val="32"/>
          <w:szCs w:val="32"/>
          <w:highlight w:val="none"/>
          <w:shd w:val="clear" w:color="auto" w:fill="auto"/>
          <w14:textFill>
            <w14:solidFill>
              <w14:schemeClr w14:val="tx1"/>
            </w14:solidFill>
          </w14:textFill>
        </w:rPr>
        <w:t>本部门本年度无相关收入（或支出、收支及结转结余等）情况，按要求空表列示。</w:t>
      </w:r>
      <w:r>
        <w:br w:type="page"/>
      </w: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5" w:type="first"/>
      <w:headerReference r:id="rId24" w:type="default"/>
      <w:footerReference r:id="rId26"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51AD"/>
    <w:multiLevelType w:val="singleLevel"/>
    <w:tmpl w:val="003E51AD"/>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5F222FFA"/>
    <w:multiLevelType w:val="singleLevel"/>
    <w:tmpl w:val="5F222FFA"/>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105791A"/>
    <w:rsid w:val="01CA1907"/>
    <w:rsid w:val="05B00A30"/>
    <w:rsid w:val="06FF35BC"/>
    <w:rsid w:val="0B011416"/>
    <w:rsid w:val="0B5869B7"/>
    <w:rsid w:val="0BFC069B"/>
    <w:rsid w:val="0C1F4E51"/>
    <w:rsid w:val="0EA93732"/>
    <w:rsid w:val="13774A6A"/>
    <w:rsid w:val="1D837F84"/>
    <w:rsid w:val="1E5921DD"/>
    <w:rsid w:val="208F611D"/>
    <w:rsid w:val="247A5512"/>
    <w:rsid w:val="25C85752"/>
    <w:rsid w:val="31C2036A"/>
    <w:rsid w:val="31D15A0D"/>
    <w:rsid w:val="320D02A5"/>
    <w:rsid w:val="348E566F"/>
    <w:rsid w:val="350C4902"/>
    <w:rsid w:val="35F622A1"/>
    <w:rsid w:val="39007474"/>
    <w:rsid w:val="3A226944"/>
    <w:rsid w:val="3AEE6A48"/>
    <w:rsid w:val="3C1620AA"/>
    <w:rsid w:val="3D8F080F"/>
    <w:rsid w:val="3DF872A5"/>
    <w:rsid w:val="44626D4B"/>
    <w:rsid w:val="44750CD8"/>
    <w:rsid w:val="44CE1FA4"/>
    <w:rsid w:val="48720AC8"/>
    <w:rsid w:val="487F73ED"/>
    <w:rsid w:val="489B71FA"/>
    <w:rsid w:val="4A347EAE"/>
    <w:rsid w:val="4A8A422F"/>
    <w:rsid w:val="52600405"/>
    <w:rsid w:val="529B4319"/>
    <w:rsid w:val="55B04390"/>
    <w:rsid w:val="56C8016B"/>
    <w:rsid w:val="56E040F4"/>
    <w:rsid w:val="57773DD6"/>
    <w:rsid w:val="578B79AB"/>
    <w:rsid w:val="5C1200D3"/>
    <w:rsid w:val="5C6C091C"/>
    <w:rsid w:val="5CCD3FD5"/>
    <w:rsid w:val="61FA5F9D"/>
    <w:rsid w:val="64CD6910"/>
    <w:rsid w:val="6789158D"/>
    <w:rsid w:val="67D81BA4"/>
    <w:rsid w:val="68CA6374"/>
    <w:rsid w:val="6AAF1C96"/>
    <w:rsid w:val="6BF2483F"/>
    <w:rsid w:val="6CB21E18"/>
    <w:rsid w:val="6D1F1440"/>
    <w:rsid w:val="74D149A5"/>
    <w:rsid w:val="75681757"/>
    <w:rsid w:val="75A346A8"/>
    <w:rsid w:val="78133206"/>
    <w:rsid w:val="79B9382C"/>
    <w:rsid w:val="7B043B76"/>
    <w:rsid w:val="7C041A6A"/>
    <w:rsid w:val="7E327570"/>
    <w:rsid w:val="7F99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bmp"/><Relationship Id="rId27" Type="http://schemas.openxmlformats.org/officeDocument/2006/relationships/theme" Target="theme/theme1.xml"/><Relationship Id="rId26" Type="http://schemas.openxmlformats.org/officeDocument/2006/relationships/footer" Target="footer9.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7</TotalTime>
  <ScaleCrop>false</ScaleCrop>
  <LinksUpToDate>false</LinksUpToDate>
  <CharactersWithSpaces>11119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2020-09-30T01:05:56Z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